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5B" w:rsidRPr="009C6D5B" w:rsidRDefault="009C6D5B" w:rsidP="009C6D5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highlight w:val="yellow"/>
        </w:rPr>
      </w:pPr>
    </w:p>
    <w:p w:rsidR="009C6D5B" w:rsidRPr="00244050" w:rsidRDefault="009C6D5B" w:rsidP="009C6D5B">
      <w:pPr>
        <w:widowControl w:val="0"/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244050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9C6D5B" w:rsidRPr="00244050" w:rsidRDefault="009C6D5B" w:rsidP="009C6D5B">
      <w:pPr>
        <w:widowControl w:val="0"/>
        <w:spacing w:before="120" w:after="120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244050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C6D5B" w:rsidRPr="00DE6B67" w:rsidTr="006C7E47">
        <w:tc>
          <w:tcPr>
            <w:tcW w:w="3697" w:type="dxa"/>
          </w:tcPr>
          <w:p w:rsidR="009C6D5B" w:rsidRPr="00DE6B67" w:rsidRDefault="00350422" w:rsidP="00F15AB1">
            <w:pPr>
              <w:widowControl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="00A61B9A">
              <w:rPr>
                <w:rFonts w:ascii="Arial" w:hAnsi="Arial" w:cs="Arial"/>
                <w:bCs/>
                <w:sz w:val="24"/>
                <w:szCs w:val="24"/>
              </w:rPr>
              <w:t>» апреля</w:t>
            </w:r>
            <w:r w:rsidR="00776B0F" w:rsidRPr="00DE6B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6D5B" w:rsidRPr="00DE6B6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64A3" w:rsidRPr="00DE6B6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6D5B" w:rsidRPr="00DE6B6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C6D5B" w:rsidRPr="00DE6B67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E6B6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DE6B67">
              <w:rPr>
                <w:rFonts w:ascii="Arial" w:hAnsi="Arial" w:cs="Arial"/>
                <w:sz w:val="20"/>
              </w:rPr>
              <w:t>Белый Яр</w:t>
            </w:r>
          </w:p>
          <w:p w:rsidR="009C6D5B" w:rsidRPr="00DE6B67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E6B67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9C6D5B" w:rsidRPr="00DE6B67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E6B6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DE6B67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9C6D5B" w:rsidRPr="00350422" w:rsidRDefault="009C6D5B" w:rsidP="009C6D5B">
            <w:pPr>
              <w:widowControl w:val="0"/>
              <w:ind w:right="57" w:firstLine="0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67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350422">
              <w:rPr>
                <w:rFonts w:ascii="Arial" w:hAnsi="Arial" w:cs="Arial"/>
                <w:bCs/>
                <w:sz w:val="24"/>
                <w:szCs w:val="24"/>
                <w:lang w:val="en-US"/>
              </w:rPr>
              <w:t>402</w:t>
            </w:r>
          </w:p>
        </w:tc>
      </w:tr>
    </w:tbl>
    <w:p w:rsidR="00806142" w:rsidRPr="00DE6B67" w:rsidRDefault="00806142" w:rsidP="00E75933">
      <w:pPr>
        <w:pStyle w:val="ConsPlusTitle"/>
        <w:spacing w:line="276" w:lineRule="auto"/>
        <w:jc w:val="center"/>
        <w:rPr>
          <w:b w:val="0"/>
        </w:rPr>
      </w:pPr>
    </w:p>
    <w:p w:rsidR="00806142" w:rsidRPr="00065BB2" w:rsidRDefault="00CD6E39" w:rsidP="00953D8F">
      <w:pPr>
        <w:pStyle w:val="ConsPlusTitle"/>
        <w:ind w:right="4961"/>
        <w:jc w:val="both"/>
        <w:rPr>
          <w:rFonts w:ascii="Arial" w:hAnsi="Arial" w:cs="Arial"/>
          <w:b w:val="0"/>
          <w:i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Об утверждении Плана мероприятий («дорожной карты») по содействию развитию конкуренции на территории Верхнекетского района Томской области</w:t>
      </w:r>
      <w:r w:rsidR="00F85A02" w:rsidRPr="00DE6B6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516ED" w:rsidRPr="00DE6B67">
        <w:rPr>
          <w:rFonts w:ascii="Arial" w:hAnsi="Arial" w:cs="Arial"/>
          <w:sz w:val="24"/>
          <w:szCs w:val="24"/>
          <w:lang w:eastAsia="en-US"/>
        </w:rPr>
        <w:t xml:space="preserve">до </w:t>
      </w:r>
      <w:r w:rsidR="00D930C0" w:rsidRPr="00DE6B67">
        <w:rPr>
          <w:rFonts w:ascii="Arial" w:hAnsi="Arial" w:cs="Arial"/>
          <w:sz w:val="24"/>
          <w:szCs w:val="24"/>
          <w:lang w:eastAsia="en-US"/>
        </w:rPr>
        <w:t>2022 год</w:t>
      </w:r>
      <w:r w:rsidR="002516ED" w:rsidRPr="00DE6B67">
        <w:rPr>
          <w:rFonts w:ascii="Arial" w:hAnsi="Arial" w:cs="Arial"/>
          <w:sz w:val="24"/>
          <w:szCs w:val="24"/>
          <w:lang w:eastAsia="en-US"/>
        </w:rPr>
        <w:t>а</w:t>
      </w:r>
      <w:r w:rsidR="00065BB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65BB2" w:rsidRPr="00065BB2">
        <w:rPr>
          <w:rFonts w:ascii="Arial" w:hAnsi="Arial" w:cs="Arial"/>
          <w:b w:val="0"/>
          <w:i/>
          <w:sz w:val="24"/>
          <w:szCs w:val="24"/>
          <w:lang w:eastAsia="en-US"/>
        </w:rPr>
        <w:t>(в редакции постановления Администрации Верхнекетского района от 06.10.2020 №972</w:t>
      </w:r>
      <w:r w:rsidR="00EB66F4">
        <w:rPr>
          <w:rFonts w:ascii="Arial" w:hAnsi="Arial" w:cs="Arial"/>
          <w:b w:val="0"/>
          <w:i/>
          <w:sz w:val="24"/>
          <w:szCs w:val="24"/>
          <w:lang w:eastAsia="en-US"/>
        </w:rPr>
        <w:t>, от 14.10.2021 №881</w:t>
      </w:r>
      <w:r w:rsidR="00065BB2" w:rsidRPr="00065BB2">
        <w:rPr>
          <w:rFonts w:ascii="Arial" w:hAnsi="Arial" w:cs="Arial"/>
          <w:b w:val="0"/>
          <w:i/>
          <w:sz w:val="24"/>
          <w:szCs w:val="24"/>
          <w:lang w:eastAsia="en-US"/>
        </w:rPr>
        <w:t>)</w:t>
      </w:r>
    </w:p>
    <w:p w:rsidR="00806142" w:rsidRPr="00DE6B67" w:rsidRDefault="00806142" w:rsidP="00DB4B0E">
      <w:pPr>
        <w:pStyle w:val="ConsPlusTitle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B4B0E" w:rsidRPr="00DE6B67" w:rsidRDefault="00F85A02" w:rsidP="00DB4B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 xml:space="preserve">В соответствии с распоряжением Губернатора Томской области от 29.11.2019 №269-р «Об утверждении Плана мероприятий («дорожной карты») по содействию развитию конкуренции на территории Томской области до 2022 года», </w:t>
      </w:r>
    </w:p>
    <w:p w:rsidR="001F5E31" w:rsidRPr="00DE6B67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</w:p>
    <w:p w:rsidR="001F5E31" w:rsidRPr="00DE6B67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  <w:r w:rsidRPr="00DE6B67">
        <w:rPr>
          <w:rFonts w:ascii="Arial" w:hAnsi="Arial" w:cs="Arial"/>
          <w:b/>
          <w:sz w:val="24"/>
          <w:szCs w:val="24"/>
        </w:rPr>
        <w:t>ПОСТАНОВЛЯЮ:</w:t>
      </w:r>
    </w:p>
    <w:p w:rsidR="001F5E31" w:rsidRPr="00193EF5" w:rsidRDefault="001F5E31" w:rsidP="001F5E31">
      <w:pPr>
        <w:pStyle w:val="ae"/>
        <w:ind w:left="1440" w:firstLine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E90A1B" w:rsidRPr="00A61B9A" w:rsidRDefault="00D930C0" w:rsidP="000D06A6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A61B9A">
        <w:rPr>
          <w:rFonts w:ascii="Arial" w:hAnsi="Arial" w:cs="Arial"/>
          <w:sz w:val="24"/>
          <w:szCs w:val="24"/>
        </w:rPr>
        <w:t xml:space="preserve">Утвердить </w:t>
      </w:r>
      <w:r w:rsidR="00193EF5" w:rsidRPr="00A61B9A">
        <w:rPr>
          <w:rFonts w:ascii="Arial" w:hAnsi="Arial" w:cs="Arial"/>
          <w:sz w:val="24"/>
          <w:szCs w:val="24"/>
        </w:rPr>
        <w:t xml:space="preserve">прилагаемый </w:t>
      </w:r>
      <w:r w:rsidRPr="00A61B9A">
        <w:rPr>
          <w:rFonts w:ascii="Arial" w:hAnsi="Arial" w:cs="Arial"/>
          <w:sz w:val="24"/>
          <w:szCs w:val="24"/>
        </w:rPr>
        <w:t xml:space="preserve">План мероприятий («дорожной карты») по содействию развитию конкуренции на территории Верхнекетского района Томской области </w:t>
      </w:r>
      <w:r w:rsidR="002516ED" w:rsidRPr="00A61B9A">
        <w:rPr>
          <w:rFonts w:ascii="Arial" w:hAnsi="Arial" w:cs="Arial"/>
          <w:sz w:val="24"/>
          <w:szCs w:val="24"/>
        </w:rPr>
        <w:t>до 2022 года (далее – «Дорожная карта»)</w:t>
      </w:r>
      <w:r w:rsidR="00E90A1B" w:rsidRPr="00A61B9A">
        <w:rPr>
          <w:rFonts w:ascii="Arial" w:hAnsi="Arial" w:cs="Arial"/>
          <w:sz w:val="24"/>
          <w:szCs w:val="24"/>
        </w:rPr>
        <w:t>.</w:t>
      </w:r>
    </w:p>
    <w:p w:rsidR="002274BF" w:rsidRPr="00A61B9A" w:rsidRDefault="002516ED" w:rsidP="000D06A6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  <w:lang w:eastAsia="en-US"/>
        </w:rPr>
      </w:pPr>
      <w:r w:rsidRPr="00A61B9A">
        <w:rPr>
          <w:rFonts w:ascii="Arial" w:hAnsi="Arial" w:cs="Arial"/>
          <w:sz w:val="24"/>
          <w:szCs w:val="24"/>
          <w:lang w:eastAsia="en-US"/>
        </w:rPr>
        <w:t>Ответственным исполнителям</w:t>
      </w:r>
      <w:r w:rsidR="001C534D" w:rsidRPr="00A61B9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534D" w:rsidRPr="00A61B9A">
        <w:rPr>
          <w:rFonts w:ascii="Arial" w:hAnsi="Arial" w:cs="Arial"/>
          <w:sz w:val="24"/>
          <w:szCs w:val="24"/>
        </w:rPr>
        <w:t>«Дорожной карты»</w:t>
      </w:r>
      <w:r w:rsidR="002274BF" w:rsidRPr="00A61B9A">
        <w:rPr>
          <w:rFonts w:ascii="Arial" w:hAnsi="Arial" w:cs="Arial"/>
          <w:sz w:val="24"/>
          <w:szCs w:val="24"/>
          <w:lang w:eastAsia="en-US"/>
        </w:rPr>
        <w:t>:</w:t>
      </w:r>
    </w:p>
    <w:p w:rsidR="002274BF" w:rsidRPr="00DE6B67" w:rsidRDefault="002516ED" w:rsidP="000D06A6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обеспечить реализацию мероприятий "Дорожной карты" и достижение целевых показателей, установленных "Дорожной картой";</w:t>
      </w:r>
    </w:p>
    <w:p w:rsidR="002274BF" w:rsidRPr="00DE6B67" w:rsidRDefault="002516ED" w:rsidP="000D06A6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предоставлять в срок до 20</w:t>
      </w:r>
      <w:r w:rsidR="002274BF" w:rsidRPr="00DE6B6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E6B67">
        <w:rPr>
          <w:rFonts w:ascii="Arial" w:hAnsi="Arial" w:cs="Arial"/>
          <w:sz w:val="24"/>
          <w:szCs w:val="24"/>
          <w:lang w:eastAsia="en-US"/>
        </w:rPr>
        <w:t>января</w:t>
      </w:r>
      <w:r w:rsidR="002274BF" w:rsidRPr="00DE6B67">
        <w:rPr>
          <w:rFonts w:ascii="Arial" w:hAnsi="Arial" w:cs="Arial"/>
          <w:sz w:val="24"/>
          <w:szCs w:val="24"/>
          <w:lang w:eastAsia="en-US"/>
        </w:rPr>
        <w:t xml:space="preserve"> отчетного года в отдел </w:t>
      </w:r>
      <w:r w:rsidRPr="00DE6B67">
        <w:rPr>
          <w:rFonts w:ascii="Arial" w:hAnsi="Arial" w:cs="Arial"/>
          <w:sz w:val="24"/>
          <w:szCs w:val="24"/>
          <w:lang w:eastAsia="en-US"/>
        </w:rPr>
        <w:t>социально-экономического развития Администрации Верхнекетского района (далее – ОСЭР</w:t>
      </w:r>
      <w:r w:rsidR="002274BF" w:rsidRPr="00DE6B67">
        <w:rPr>
          <w:rFonts w:ascii="Arial" w:hAnsi="Arial" w:cs="Arial"/>
          <w:sz w:val="24"/>
          <w:szCs w:val="24"/>
          <w:lang w:eastAsia="en-US"/>
        </w:rPr>
        <w:t xml:space="preserve">) информацию о ходе реализации </w:t>
      </w:r>
      <w:r w:rsidRPr="00DE6B67">
        <w:rPr>
          <w:rFonts w:ascii="Arial" w:hAnsi="Arial" w:cs="Arial"/>
          <w:sz w:val="24"/>
          <w:szCs w:val="24"/>
          <w:lang w:eastAsia="en-US"/>
        </w:rPr>
        <w:t>мероприятий  «Дорожной карты»</w:t>
      </w:r>
      <w:r w:rsidR="002274BF" w:rsidRPr="00DE6B67">
        <w:rPr>
          <w:rFonts w:ascii="Arial" w:hAnsi="Arial" w:cs="Arial"/>
          <w:sz w:val="24"/>
          <w:szCs w:val="24"/>
          <w:lang w:eastAsia="en-US"/>
        </w:rPr>
        <w:t xml:space="preserve"> по итогам отчетного года.</w:t>
      </w:r>
    </w:p>
    <w:p w:rsidR="002274BF" w:rsidRPr="00DE6B67" w:rsidRDefault="000E0B88" w:rsidP="000D06A6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ОСЭР ежегодно, до 1 февраля года, следующего за отчетным, представлять в Департамент экономики Администрации Томской области информацию о ходе реализации мероприятий "Дорожной карты" и достижении целевых показателей, установленных "Дорожной картой".</w:t>
      </w:r>
    </w:p>
    <w:p w:rsidR="008152C2" w:rsidRPr="00DE6B67" w:rsidRDefault="008152C2" w:rsidP="000D06A6">
      <w:pPr>
        <w:pStyle w:val="ae"/>
        <w:numPr>
          <w:ilvl w:val="0"/>
          <w:numId w:val="15"/>
        </w:numPr>
        <w:tabs>
          <w:tab w:val="left" w:pos="993"/>
        </w:tabs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«Территория».</w:t>
      </w:r>
    </w:p>
    <w:p w:rsidR="008152C2" w:rsidRPr="00DE6B67" w:rsidRDefault="008152C2" w:rsidP="000D06A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Разместить настоящее постановление на официальном сайте Администрации Верхнекетского района.</w:t>
      </w:r>
    </w:p>
    <w:p w:rsidR="008152C2" w:rsidRPr="00DE6B67" w:rsidRDefault="008152C2" w:rsidP="000D06A6">
      <w:pPr>
        <w:pStyle w:val="ae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 xml:space="preserve">  Контроль за исполнением настоящего постановления </w:t>
      </w:r>
      <w:r w:rsidR="0072338F">
        <w:rPr>
          <w:rFonts w:ascii="Arial" w:hAnsi="Arial" w:cs="Arial"/>
          <w:sz w:val="24"/>
          <w:szCs w:val="24"/>
          <w:lang w:eastAsia="en-US"/>
        </w:rPr>
        <w:t>оставляю за собой</w:t>
      </w:r>
      <w:r w:rsidRPr="00DE6B67">
        <w:rPr>
          <w:rFonts w:ascii="Arial" w:hAnsi="Arial" w:cs="Arial"/>
          <w:sz w:val="24"/>
          <w:szCs w:val="24"/>
          <w:lang w:eastAsia="en-US"/>
        </w:rPr>
        <w:t>.</w:t>
      </w:r>
    </w:p>
    <w:p w:rsidR="008152C2" w:rsidRPr="00DE6B67" w:rsidRDefault="008152C2" w:rsidP="008152C2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94352" w:rsidRPr="00DE6B67" w:rsidRDefault="00194352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226BC" w:rsidRPr="00DE6B67" w:rsidRDefault="004226BC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3E597C" w:rsidRPr="00DE6B67" w:rsidRDefault="001C1C8C" w:rsidP="003E597C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E597C" w:rsidRPr="00DE6B6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3E597C" w:rsidRPr="00DE6B67">
        <w:rPr>
          <w:rFonts w:ascii="Arial" w:hAnsi="Arial" w:cs="Arial"/>
          <w:sz w:val="24"/>
          <w:szCs w:val="24"/>
        </w:rPr>
        <w:t xml:space="preserve"> Верхнекетского района                        </w:t>
      </w:r>
      <w:r w:rsidR="00194352" w:rsidRPr="00DE6B67">
        <w:rPr>
          <w:rFonts w:ascii="Arial" w:hAnsi="Arial" w:cs="Arial"/>
          <w:sz w:val="24"/>
          <w:szCs w:val="24"/>
        </w:rPr>
        <w:t xml:space="preserve"> </w:t>
      </w:r>
      <w:r w:rsidR="00D930C0" w:rsidRPr="00DE6B67">
        <w:rPr>
          <w:rFonts w:ascii="Arial" w:hAnsi="Arial" w:cs="Arial"/>
          <w:sz w:val="24"/>
          <w:szCs w:val="24"/>
        </w:rPr>
        <w:t xml:space="preserve">                         </w:t>
      </w:r>
      <w:r w:rsidR="00194352" w:rsidRPr="00DE6B67">
        <w:rPr>
          <w:rFonts w:ascii="Arial" w:hAnsi="Arial" w:cs="Arial"/>
          <w:sz w:val="24"/>
          <w:szCs w:val="24"/>
        </w:rPr>
        <w:t xml:space="preserve">        </w:t>
      </w:r>
      <w:r w:rsidR="00D930C0" w:rsidRPr="00DE6B67">
        <w:rPr>
          <w:rFonts w:ascii="Arial" w:hAnsi="Arial" w:cs="Arial"/>
          <w:sz w:val="24"/>
          <w:szCs w:val="24"/>
        </w:rPr>
        <w:t>С.А. Альсевич</w:t>
      </w:r>
    </w:p>
    <w:p w:rsidR="004226BC" w:rsidRPr="00DE6B67" w:rsidRDefault="004226BC" w:rsidP="003E597C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3E597C" w:rsidRPr="00DE6B67" w:rsidRDefault="003E597C" w:rsidP="003E597C">
      <w:pPr>
        <w:widowControl w:val="0"/>
        <w:ind w:firstLine="0"/>
        <w:rPr>
          <w:rFonts w:ascii="Arial" w:hAnsi="Arial" w:cs="Arial"/>
          <w:sz w:val="24"/>
          <w:szCs w:val="24"/>
        </w:rPr>
      </w:pPr>
    </w:p>
    <w:p w:rsidR="00D94AA3" w:rsidRPr="00244050" w:rsidRDefault="00D94AA3" w:rsidP="00D94AA3">
      <w:pPr>
        <w:pStyle w:val="ConsPlusTitle"/>
        <w:spacing w:line="276" w:lineRule="auto"/>
        <w:jc w:val="center"/>
        <w:rPr>
          <w:b w:val="0"/>
        </w:rPr>
      </w:pPr>
    </w:p>
    <w:p w:rsidR="00D94AA3" w:rsidRPr="00244050" w:rsidRDefault="00D94AA3">
      <w:pPr>
        <w:ind w:firstLine="0"/>
      </w:pPr>
    </w:p>
    <w:p w:rsidR="0037181A" w:rsidRPr="00244050" w:rsidRDefault="0037181A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37181A" w:rsidRPr="005B6E14" w:rsidRDefault="0037181A">
      <w:pPr>
        <w:ind w:firstLine="0"/>
        <w:rPr>
          <w:color w:val="FF0000"/>
        </w:rPr>
      </w:pPr>
    </w:p>
    <w:p w:rsidR="0037181A" w:rsidRPr="00244050" w:rsidRDefault="0037181A">
      <w:pPr>
        <w:ind w:firstLine="0"/>
      </w:pPr>
    </w:p>
    <w:p w:rsidR="00041DDF" w:rsidRDefault="00041DDF">
      <w:pPr>
        <w:ind w:firstLine="0"/>
      </w:pPr>
      <w:r>
        <w:br w:type="page"/>
      </w:r>
    </w:p>
    <w:p w:rsidR="0056454D" w:rsidRDefault="0056454D">
      <w:pPr>
        <w:ind w:firstLine="0"/>
      </w:pPr>
      <w:r>
        <w:lastRenderedPageBreak/>
        <w:br w:type="page"/>
      </w:r>
    </w:p>
    <w:p w:rsidR="005C7A02" w:rsidRDefault="005C7A02">
      <w:pPr>
        <w:ind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br w:type="page"/>
      </w:r>
    </w:p>
    <w:p w:rsidR="00671038" w:rsidRDefault="00671038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  <w:sectPr w:rsidR="00671038" w:rsidSect="00671038">
          <w:headerReference w:type="default" r:id="rId8"/>
          <w:pgSz w:w="11906" w:h="16838"/>
          <w:pgMar w:top="1134" w:right="707" w:bottom="1134" w:left="1418" w:header="708" w:footer="266" w:gutter="0"/>
          <w:cols w:space="708"/>
          <w:docGrid w:linePitch="360"/>
        </w:sectPr>
      </w:pP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lastRenderedPageBreak/>
        <w:t>Утверждён</w:t>
      </w: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>постановлением</w:t>
      </w: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>Администрации Верхнекетского района</w:t>
      </w: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>от «</w:t>
      </w:r>
      <w:r w:rsidR="005C7A02">
        <w:rPr>
          <w:rFonts w:ascii="Arial" w:hAnsi="Arial" w:cs="Arial"/>
          <w:sz w:val="24"/>
          <w:szCs w:val="24"/>
          <w:lang w:eastAsia="en-US"/>
        </w:rPr>
        <w:t>24</w:t>
      </w:r>
      <w:r w:rsidRPr="003C3F26">
        <w:rPr>
          <w:rFonts w:ascii="Arial" w:hAnsi="Arial" w:cs="Arial"/>
          <w:sz w:val="24"/>
          <w:szCs w:val="24"/>
          <w:lang w:eastAsia="en-US"/>
        </w:rPr>
        <w:t>» апреля 2020 года №</w:t>
      </w:r>
      <w:r w:rsidR="005C7A02">
        <w:rPr>
          <w:rFonts w:ascii="Arial" w:hAnsi="Arial" w:cs="Arial"/>
          <w:sz w:val="24"/>
          <w:szCs w:val="24"/>
          <w:lang w:eastAsia="en-US"/>
        </w:rPr>
        <w:t>402</w:t>
      </w: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3C3F26" w:rsidRPr="003C3F26" w:rsidRDefault="003C3F26" w:rsidP="003C3F26">
      <w:pPr>
        <w:ind w:firstLine="0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065BB2" w:rsidRPr="00EB66F4" w:rsidRDefault="00065BB2" w:rsidP="00065BB2">
      <w:pPr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065BB2" w:rsidRPr="00571A22" w:rsidRDefault="00065BB2" w:rsidP="00065BB2">
      <w:pPr>
        <w:ind w:firstLine="0"/>
        <w:rPr>
          <w:lang w:val="ru"/>
        </w:rPr>
      </w:pPr>
    </w:p>
    <w:p w:rsidR="00EB66F4" w:rsidRPr="00D72FF1" w:rsidRDefault="00EB66F4" w:rsidP="00EB66F4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План мероприятий («дорожной карты») по содействию развитию конкуренции на территории Верхнекетского района Томской области до 2022 года.</w:t>
      </w:r>
    </w:p>
    <w:p w:rsidR="00EB66F4" w:rsidRPr="00D72FF1" w:rsidRDefault="00EB66F4" w:rsidP="00EB66F4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B66F4" w:rsidRPr="00D72FF1" w:rsidRDefault="00EB66F4" w:rsidP="00EB66F4">
      <w:pPr>
        <w:spacing w:after="194" w:line="230" w:lineRule="exact"/>
        <w:ind w:right="500" w:firstLine="0"/>
        <w:jc w:val="center"/>
        <w:rPr>
          <w:rFonts w:ascii="Arial" w:hAnsi="Arial" w:cs="Arial"/>
          <w:b/>
          <w:color w:val="C00000"/>
          <w:sz w:val="36"/>
          <w:szCs w:val="36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I. Перечень товарных рынков на территории муниципального образования Верхнекетский район Томской области для  содействия развитию конкуренции и значений ключевых показателей</w:t>
      </w:r>
    </w:p>
    <w:tbl>
      <w:tblPr>
        <w:tblStyle w:val="af5"/>
        <w:tblW w:w="14897" w:type="dxa"/>
        <w:tblLayout w:type="fixed"/>
        <w:tblLook w:val="04A0" w:firstRow="1" w:lastRow="0" w:firstColumn="1" w:lastColumn="0" w:noHBand="0" w:noVBand="1"/>
      </w:tblPr>
      <w:tblGrid>
        <w:gridCol w:w="675"/>
        <w:gridCol w:w="2548"/>
        <w:gridCol w:w="6292"/>
        <w:gridCol w:w="1400"/>
        <w:gridCol w:w="1360"/>
        <w:gridCol w:w="1306"/>
        <w:gridCol w:w="1316"/>
      </w:tblGrid>
      <w:tr w:rsidR="00EB66F4" w:rsidRPr="00D72FF1" w:rsidTr="00F21519">
        <w:trPr>
          <w:trHeight w:val="164"/>
        </w:trPr>
        <w:tc>
          <w:tcPr>
            <w:tcW w:w="675" w:type="dxa"/>
            <w:vMerge w:val="restart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-16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№ п/п</w:t>
            </w:r>
          </w:p>
        </w:tc>
        <w:tc>
          <w:tcPr>
            <w:tcW w:w="2548" w:type="dxa"/>
            <w:vMerge w:val="restart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Наименование рынка</w:t>
            </w:r>
          </w:p>
        </w:tc>
        <w:tc>
          <w:tcPr>
            <w:tcW w:w="6292" w:type="dxa"/>
            <w:vMerge w:val="restart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Обоснование включения</w:t>
            </w:r>
          </w:p>
        </w:tc>
        <w:tc>
          <w:tcPr>
            <w:tcW w:w="5382" w:type="dxa"/>
            <w:gridSpan w:val="4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Ключевой показатель</w:t>
            </w:r>
          </w:p>
        </w:tc>
      </w:tr>
      <w:tr w:rsidR="00EB66F4" w:rsidRPr="00D72FF1" w:rsidTr="00F21519">
        <w:trPr>
          <w:trHeight w:val="312"/>
        </w:trPr>
        <w:tc>
          <w:tcPr>
            <w:tcW w:w="675" w:type="dxa"/>
            <w:vMerge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48" w:type="dxa"/>
            <w:vMerge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292" w:type="dxa"/>
            <w:vMerge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00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-18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Факт 01.01.2019</w:t>
            </w:r>
          </w:p>
        </w:tc>
        <w:tc>
          <w:tcPr>
            <w:tcW w:w="1360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-58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Факт 01.01.2020</w:t>
            </w:r>
          </w:p>
        </w:tc>
        <w:tc>
          <w:tcPr>
            <w:tcW w:w="1306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-112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План 01.01.2021</w:t>
            </w:r>
          </w:p>
        </w:tc>
        <w:tc>
          <w:tcPr>
            <w:tcW w:w="1316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-102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План 01.01.2022</w:t>
            </w:r>
          </w:p>
        </w:tc>
      </w:tr>
      <w:tr w:rsidR="00EB66F4" w:rsidRPr="00D72FF1" w:rsidTr="00F21519">
        <w:trPr>
          <w:trHeight w:val="557"/>
        </w:trPr>
        <w:tc>
          <w:tcPr>
            <w:tcW w:w="675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2FF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8" w:type="dxa"/>
            <w:vAlign w:val="center"/>
          </w:tcPr>
          <w:p w:rsidR="00EB66F4" w:rsidRPr="00D72FF1" w:rsidRDefault="00EB66F4" w:rsidP="00F21519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жилищного строительства</w:t>
            </w:r>
          </w:p>
        </w:tc>
        <w:tc>
          <w:tcPr>
            <w:tcW w:w="6292" w:type="dxa"/>
            <w:vAlign w:val="center"/>
          </w:tcPr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За 2018 год на территории Верхнекетского района введено в эксплуатацию 24 индивидуальных жилых дома общей площадью 2329 кв. м. В этот же год застройщиком ООО «Рассвет» введен в эксплуатацию жилой дом с 10 квартирами общей площадью 338 кв.м. Темп роста к уровню 2017 года составил 110,2%.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За 2019 год введено в эксплуатацию 32 индивидуальных  жилых дома общей площадью 3073 кв.м. (115,2% к соответствующему периоду прошлого года).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Основными перспективными направлениями развития рынка являются:</w:t>
            </w:r>
          </w:p>
          <w:p w:rsidR="00EB66F4" w:rsidRPr="00D72FF1" w:rsidRDefault="00EB66F4" w:rsidP="00F21519">
            <w:pPr>
              <w:shd w:val="clear" w:color="auto" w:fill="FFFFFF"/>
              <w:tabs>
                <w:tab w:val="left" w:pos="216"/>
              </w:tabs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-   упрощение процедуры оформления необходимой для застройщиков документации, уменьшение совокупного времени прохождения всех процедур;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- применение единых нормативно-технических требований в строительстве, находящихся в открытом доступе;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- обеспечение прозрачности взаимодействия хозяйствующих субъектов и органов местного самоуправления, устранение административных барьеров.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общая площадь жилых помещений, приходящихся в среднем на одного жителя (на конец года), кв. метров</w:t>
            </w:r>
          </w:p>
        </w:tc>
        <w:tc>
          <w:tcPr>
            <w:tcW w:w="1400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23,8</w:t>
            </w:r>
          </w:p>
        </w:tc>
        <w:tc>
          <w:tcPr>
            <w:tcW w:w="1360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-2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24</w:t>
            </w:r>
          </w:p>
        </w:tc>
        <w:tc>
          <w:tcPr>
            <w:tcW w:w="1306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24</w:t>
            </w:r>
          </w:p>
        </w:tc>
        <w:tc>
          <w:tcPr>
            <w:tcW w:w="1316" w:type="dxa"/>
            <w:vAlign w:val="center"/>
          </w:tcPr>
          <w:p w:rsidR="00EB66F4" w:rsidRPr="00D72FF1" w:rsidRDefault="00EB66F4" w:rsidP="00F21519">
            <w:pPr>
              <w:spacing w:after="194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24,1</w:t>
            </w:r>
          </w:p>
        </w:tc>
      </w:tr>
      <w:tr w:rsidR="00EB66F4" w:rsidRPr="00D72FF1" w:rsidTr="00F21519">
        <w:trPr>
          <w:trHeight w:val="432"/>
        </w:trPr>
        <w:tc>
          <w:tcPr>
            <w:tcW w:w="675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548" w:type="dxa"/>
          </w:tcPr>
          <w:p w:rsidR="00EB66F4" w:rsidRPr="00D72FF1" w:rsidRDefault="00EB66F4" w:rsidP="00F21519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6292" w:type="dxa"/>
          </w:tcPr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Согласно Единому реестру субъектов малого и среднего предпринимательства Федеральной налоговой службы в Верхнекетском районе Томской области по виду деятельности "45.20. Техническое обслуживание и ремонт автотранспортных средств" действует </w:t>
            </w:r>
            <w:r w:rsidRPr="00D72FF1">
              <w:rPr>
                <w:rFonts w:ascii="Arial" w:hAnsi="Arial" w:cs="Arial"/>
                <w:color w:val="000000" w:themeColor="text1"/>
                <w:sz w:val="24"/>
                <w:lang w:eastAsia="en-US"/>
              </w:rPr>
              <w:t xml:space="preserve">9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t>индивидуальных предпринимателей.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Доля организаций частной формы собственности в общем количестве хозяйствующих субъектов, осуществляющих деятельность на данном рынке, составляет 100%, что демонстрирует отсутствие предпосылок по монополистической деятельности на рынке оказания услуг по ремонту автотранспортных средств Верхнекетского района Томской области.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Основными факторами, сдерживающими развитие данного рынка, являются рост потребительских цен и снижение покупательской способности.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Основные направления развития рынка ремонта автотранспортных средств - увеличение уровня обеспеченности населения Верхнекетского района  Томской области отраслевыми предприятиями, а также повышение качества и уровня обслуживания населения.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количество индивидуальных предпринимателей, осуществляющих деятельность по ремонту автотранспортных средств, ед.</w:t>
            </w:r>
          </w:p>
        </w:tc>
        <w:tc>
          <w:tcPr>
            <w:tcW w:w="140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136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130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</w:t>
            </w:r>
          </w:p>
        </w:tc>
        <w:tc>
          <w:tcPr>
            <w:tcW w:w="131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</w:t>
            </w:r>
          </w:p>
        </w:tc>
      </w:tr>
      <w:tr w:rsidR="00EB66F4" w:rsidRPr="00D72FF1" w:rsidTr="00F21519">
        <w:trPr>
          <w:trHeight w:val="432"/>
        </w:trPr>
        <w:tc>
          <w:tcPr>
            <w:tcW w:w="675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2548" w:type="dxa"/>
          </w:tcPr>
          <w:p w:rsidR="00EB66F4" w:rsidRPr="00D72FF1" w:rsidRDefault="00EB66F4" w:rsidP="00F21519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теплоснабжения (производства тепловой энергии)</w:t>
            </w:r>
          </w:p>
        </w:tc>
        <w:tc>
          <w:tcPr>
            <w:tcW w:w="6292" w:type="dxa"/>
          </w:tcPr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Тепловая энергия согласно статье 2 Федерального закона от 27 июля 2010 года N 190-ФЗ "О теплоснабжении" представляет собой энергетический ресурс, при потреблении которого изменяются термодинамические параметры теплоносителей (температура, давление).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Тепловая энергия поставляется в жилые и нежилые здания (сооружения) для обеспечения коммунальных (отопление, горячее водоснабжение) и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технологических нужд потребителей. Передается тепловая энергия потребителям от источников тепловой энергии к тепло потребляющим установкам, технологически соединенным тепловыми сетями. Основными источниками тепла являются котельные установки. В зависимости от вида теплоносителя тепловая энергия поставляется в паре и в горячей воде.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Основные проблемы на рынке теплоснабжения: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необходимость осуществления значительных первоначальных капитальных вложений;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высокий износ тепловых сетей и оборудования;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длительные сроки организации производства служат препятствием для входа новых субъектов на рынок, что дает возможность уже функционирующему хозяйствующему субъекту значительное время оказывать существенное воздействие на рынок.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 Верхнекетском районе Томской области большая часть тепловой энергии отпускается потребителям от теплоисточников, эксплуатируемых организациями муниципальной формы собственности. Однако в связи со сложной процедурой передачи муниципальных объектов теплоснабжения в эксплуатацию на основании концессионных соглашений (требование федерального законодательства) и отсутствием бюджетной поддержки на реализацию таких соглашений, необходимой для недопущения резкого роста тарифов для населения, прогнозируется снижение доли частных компаний на рынке.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Рынок теплоснабжения (производство тепловой энергии) на территории Верхнекетского района включает в себя 17 котельных, отапливающих население и объекты социальной сферы. 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Все котельные используют твердое топливо – уголь, древесную щепу и дрова. Эксплуатацию котельных на территории района осуществляют шесть муниципальных организаций и две организации частной формы собственности на условиях договоров аренды.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С 2021 года планируется переход на концессионные отношения с потенциальным концессионером по объектам ЖКХ районного центра.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40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8,3</w:t>
            </w:r>
          </w:p>
        </w:tc>
        <w:tc>
          <w:tcPr>
            <w:tcW w:w="136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  <w:tc>
          <w:tcPr>
            <w:tcW w:w="130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  <w:tc>
          <w:tcPr>
            <w:tcW w:w="131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</w:tr>
      <w:tr w:rsidR="00EB66F4" w:rsidRPr="00D72FF1" w:rsidTr="00F21519">
        <w:trPr>
          <w:trHeight w:val="432"/>
        </w:trPr>
        <w:tc>
          <w:tcPr>
            <w:tcW w:w="675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2548" w:type="dxa"/>
          </w:tcPr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выполнения работ по содержанию и текущему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ремонту общего имущества собственников помещений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 многоквартирном доме</w:t>
            </w:r>
          </w:p>
        </w:tc>
        <w:tc>
          <w:tcPr>
            <w:tcW w:w="6292" w:type="dxa"/>
          </w:tcPr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По состоянию на 01.01.2020 на территории Верхнекетского района Томской области расположено 72 многоквартирных дома (далее - МКД) без учета домов блокированной застройки.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Общая площадь жилых помещений в МКД составляла 49 тыс. кв. м.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По данным Федеральной налоговой службы в Верхнекетском районе Томской области на 29.01.2020 насчитывается 2 субъекта малого бизнеса, которые осуществляют деятельность в сфере управления недвижимым имуществом за вознаграждение или на договорной основе (ОКВЭД 68.32).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Основными проблемами на рынке являются: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несоответствие качества и стоимости услуг в сфере ЖКХ;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отсутствие единых стандартов управления МКД с учетом мнения собственников;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запущенное состояние мест общего пользования МКД по причинам невыполнения обязательств по текущему ремонту;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слабая материально-техническая база и недостаточный уровень квалификации персонала управляющих организаций.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 xml:space="preserve">Ключевой показатель: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   </w:t>
            </w:r>
          </w:p>
        </w:tc>
        <w:tc>
          <w:tcPr>
            <w:tcW w:w="140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6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0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1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  <w:tr w:rsidR="00EB66F4" w:rsidRPr="00D72FF1" w:rsidTr="00F21519">
        <w:trPr>
          <w:trHeight w:val="432"/>
        </w:trPr>
        <w:tc>
          <w:tcPr>
            <w:tcW w:w="675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2548" w:type="dxa"/>
          </w:tcPr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Рынок оказания услуг по перевозке пассажиров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автомобильным транспортом по муниципальным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маршрутам регулярных перевозок</w:t>
            </w:r>
          </w:p>
        </w:tc>
        <w:tc>
          <w:tcPr>
            <w:tcW w:w="6292" w:type="dxa"/>
          </w:tcPr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Транспортная инфраструктура является важной жизнеобеспечивающей системой, неразрывно связанной с нуждами населения, работой предприятий и организаций промышленности, топливно-энергетического комплекса, сельского хозяйства и социальной сферы, и относится к перечню социально значимых рынков услуг.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Доля транспорта частных перевозчиков на муниципальных маршрутах составляет 100% в общем объеме транспортных средств, ежедневно выходящих на линию.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наличие административных барьеров, затрудняющих ведения бизнеса на рынке пассажирских перевозок;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отставание темпов развития транспортной инфраструктуры от темпов социально-экономического развития региона;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  <w:p w:rsidR="00EB66F4" w:rsidRPr="00D72FF1" w:rsidRDefault="00EB66F4" w:rsidP="00F21519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0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100</w:t>
            </w:r>
          </w:p>
        </w:tc>
        <w:tc>
          <w:tcPr>
            <w:tcW w:w="136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0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1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  <w:tr w:rsidR="00EB66F4" w:rsidRPr="00D72FF1" w:rsidTr="00F21519">
        <w:trPr>
          <w:trHeight w:val="432"/>
        </w:trPr>
        <w:tc>
          <w:tcPr>
            <w:tcW w:w="675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2548" w:type="dxa"/>
          </w:tcPr>
          <w:p w:rsidR="00EB66F4" w:rsidRPr="00D72FF1" w:rsidRDefault="00EB66F4" w:rsidP="00F21519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6292" w:type="dxa"/>
          </w:tcPr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Включение рынка розничной торговли лекарственными препаратами, изделиями медицинского назначения и сопутствующими товарами в перечень рынков для развития конкуренции обусловлено необходимостью повышения физической и экономической доступности товаров. Аптечная организация, с одной стороны, - это предприятие торговли, несущее все платежи и нагрузку, как и любой торговый объект, а с другой - социальный объект со многими обязательствами по соблюдению ряда требований, в том числе лицензионных.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В Верхнекетском районе 6 действующих лицензий на фармацевтическую деятельность.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Количество объектов розничной торговли лекарственными препаратами,</w:t>
            </w:r>
            <w:r w:rsidRPr="00D72FF1">
              <w:rPr>
                <w:sz w:val="23"/>
                <w:szCs w:val="23"/>
                <w:lang w:eastAsia="en-US"/>
              </w:rPr>
              <w:t xml:space="preserve">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t xml:space="preserve">изделиями медицинского назначения и сопутствующими товарами в Верхнекетском районе – 17, в том числе </w:t>
            </w: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при фельдшерско-акушерских пунктах 7 киосков и 5 аптечных пунктов в поселках района.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Доля организаций частной формы собственности на рынке розничной торговли лекарственными препаратами, медицинскими изделиями и сопутствующими товарами составляет 80%.</w:t>
            </w:r>
          </w:p>
          <w:p w:rsidR="00EB66F4" w:rsidRPr="00D72FF1" w:rsidRDefault="00EB66F4" w:rsidP="00F21519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организаций частной формы собственности на рынке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40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lastRenderedPageBreak/>
              <w:t>80</w:t>
            </w:r>
          </w:p>
        </w:tc>
        <w:tc>
          <w:tcPr>
            <w:tcW w:w="1360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80</w:t>
            </w:r>
          </w:p>
        </w:tc>
        <w:tc>
          <w:tcPr>
            <w:tcW w:w="130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80</w:t>
            </w:r>
          </w:p>
        </w:tc>
        <w:tc>
          <w:tcPr>
            <w:tcW w:w="1316" w:type="dxa"/>
          </w:tcPr>
          <w:p w:rsidR="00EB66F4" w:rsidRPr="00D72FF1" w:rsidRDefault="00EB66F4" w:rsidP="00F21519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lang w:eastAsia="en-US"/>
              </w:rPr>
              <w:t>83</w:t>
            </w:r>
          </w:p>
        </w:tc>
      </w:tr>
    </w:tbl>
    <w:p w:rsidR="00EB66F4" w:rsidRPr="00D72FF1" w:rsidRDefault="00EB66F4" w:rsidP="00EB66F4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B66F4" w:rsidRPr="00D72FF1" w:rsidRDefault="00EB66F4" w:rsidP="00EB66F4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B66F4" w:rsidRPr="00D72FF1" w:rsidRDefault="00EB66F4" w:rsidP="00EB66F4">
      <w:pPr>
        <w:spacing w:after="194" w:line="230" w:lineRule="exact"/>
        <w:ind w:right="500"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72FF1">
        <w:rPr>
          <w:rFonts w:ascii="Arial" w:hAnsi="Arial" w:cs="Arial"/>
          <w:sz w:val="24"/>
          <w:szCs w:val="24"/>
          <w:lang w:eastAsia="en-US"/>
        </w:rPr>
        <w:t>II. Мероприятия по содействию развитию конкуренции на  товарных рынках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2837"/>
        <w:gridCol w:w="2699"/>
        <w:gridCol w:w="2268"/>
        <w:gridCol w:w="3118"/>
      </w:tblGrid>
      <w:tr w:rsidR="00EB66F4" w:rsidRPr="00D72FF1" w:rsidTr="00F21519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pacing w:line="245" w:lineRule="exact"/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5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pacing w:line="245" w:lineRule="exact"/>
              <w:ind w:right="32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pacing w:line="250" w:lineRule="exact"/>
              <w:ind w:right="48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B66F4" w:rsidRPr="00D72FF1" w:rsidTr="00F21519">
        <w:trPr>
          <w:trHeight w:val="423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6F4" w:rsidRPr="00D72FF1" w:rsidRDefault="00EB66F4" w:rsidP="00EB66F4">
            <w:pPr>
              <w:numPr>
                <w:ilvl w:val="3"/>
                <w:numId w:val="20"/>
              </w:numPr>
              <w:ind w:left="10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</w:tr>
      <w:tr w:rsidR="00EB66F4" w:rsidRPr="00D72FF1" w:rsidTr="00F21519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Опубликование на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официально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 сайте Администрации Верхнекетского района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в информационно-телекоммуникационной сети "Интернет"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в том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числе на картографической основе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Информированность участников градостроительных отношений                                                                              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Сведения о планируемых к проведению аукционов на право аренды земельных участков в целях жилищного строительства размещаются на официальном сайте Администрации Верхнекетского района, официальном сайте Белоярского городского поселения в информационно-телекоммуникационной сети "Интернет"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поселения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(по согласованию), Управление по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распоряжению муниципальным имуществом и землей Администрации Верхнекетского района</w:t>
            </w:r>
          </w:p>
        </w:tc>
      </w:tr>
      <w:tr w:rsidR="00EB66F4" w:rsidRPr="00D72FF1" w:rsidTr="00F21519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Размещение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 (электро-, тепло-, водоснабжения, водоотведения) в документации о проведении аукциона по продаже (на право аренды) земельных участков под строительство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Сведения о планируемых к проведению аукционов на право аренды земельных участков в целях жилищного строительства размещаются на официальном сайте Администрации Верхнекетского района, официальном сайте Белоярского городского поселения с указанием наличия технических условий для подключения к инженерным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(по согласованию),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EB66F4" w:rsidRPr="00D72FF1" w:rsidTr="00F21519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Опубликование на официальном сайте Администрации Верхнекетского района в информационно-телекоммуникационной сети "Интернет"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Информированность участников градостроительных отношений об актуальных планах по созданию объектов инфраструктуры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Наличие генеральных планов поселений и размещение их на официальных сайтах: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2021 год - 9;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2022год -9.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Наличие программ комплексного развития коммунальной инфраструктуры поселений и размещение их на официальных сайтах: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год – 8;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2021 год – 8;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2022 год – 8.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Наличие программ комплексного развития транспортной инфраструктуры сельских (городского)поселений и размещение их на официальном сайте  Администрации Верхнекетского района, на официальном сайте Белоярского городского поселения: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2021 год – 9;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2022 год – 9.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Наличие программ комплексного развития социальной инфраструктуры сельских (городского) поселений и размещение их на официальном сайте  Администрации Верхнекетского района, на официальном сайте Белоярского городского поселения: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2021 год – 9;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2022 год –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Администрации сельских (городского)  поселений Верхнекетского района (по согласованию),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EB66F4" w:rsidRPr="00D72FF1" w:rsidTr="00F21519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Вовлечение в хозяйственный оборот земельных участков, находящихся в государственной, муниципальной собственности,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Сведения о планируемых к проведению аукционов на право аренды земельных участков в целях жилищного строительства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размещаются на  официальном сайте Администрации Верхнекетского района, на официальном сайте Белоярского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2020-2022</w:t>
            </w:r>
            <w:r w:rsidRPr="00D72FF1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(по согласованию),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EB66F4" w:rsidRPr="00D72FF1" w:rsidTr="00F21519">
        <w:trPr>
          <w:trHeight w:val="487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6F4" w:rsidRPr="00D72FF1" w:rsidRDefault="00EB66F4" w:rsidP="00EB66F4">
            <w:pPr>
              <w:numPr>
                <w:ilvl w:val="3"/>
                <w:numId w:val="20"/>
              </w:numPr>
              <w:ind w:left="10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EB66F4" w:rsidRPr="00D72FF1" w:rsidTr="00F21519">
        <w:trPr>
          <w:trHeight w:val="4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Перечня организаций, оказывающих услуги на рынке ремонта автотранспортных средств Верхнекетского района Томской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Размещение на сайте Администрации Верхнекетского района в сети «Интернет» перечня организаций, оказывающих услуги на рынке ремонта автотранспортных средств Верхнекетского района Томской области: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до 01.05.2020;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до 01.03.2021;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– до 01.03.2022.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D72FF1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EB66F4" w:rsidRPr="00D72FF1" w:rsidTr="00F21519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3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.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ab/>
              <w:t>Рынок теплоснабжения (производство тепловой энергии)</w:t>
            </w:r>
          </w:p>
        </w:tc>
      </w:tr>
      <w:tr w:rsidR="00EB66F4" w:rsidRPr="00D72FF1" w:rsidTr="00F21519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официальном сайте Российской Федерации для размещения информации о проведении торгов перечня объектов, в отношении которых планируется заключение концессионных соглашений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Увеличение количества потенциальных участников конкурсов на право заключения концессионных соглашений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Перечень объектов, в отношении которых планируется заключение концессионных соглашений, размещен на официальном сайте Российской Федерации для размещения информации о проведении торгов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да;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да;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D72FF1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EB66F4" w:rsidRPr="00D72FF1" w:rsidTr="00F21519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.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ab/>
              <w:t>Рынок выполнения работ по содержанию и текущему</w:t>
            </w:r>
          </w:p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ремонту общего имущества собственников помещений</w:t>
            </w:r>
          </w:p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 многоквартирном доме</w:t>
            </w:r>
          </w:p>
        </w:tc>
      </w:tr>
      <w:tr w:rsidR="00EB66F4" w:rsidRPr="00D72FF1" w:rsidTr="00F21519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</w:t>
            </w: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количества управляющих организаций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Повышение уровня информированности организаций и населения, обеспечение общественного контроля за соблюдением органами власти сроков объявления аукционов по выбору управляющих организаций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Размещение 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официальном сайте Администрации Верхнекетского района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и в информационно-телекоммуникационной сети "Интернет" актуальной информации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по мере ее появления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жилищно-коммунального хозяйства Администрации Верхнекетского района</w:t>
            </w:r>
          </w:p>
        </w:tc>
      </w:tr>
      <w:tr w:rsidR="00EB66F4" w:rsidRPr="00D72FF1" w:rsidTr="00F21519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5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.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ab/>
              <w:t>Рынок оказания услуг по перевозке пассажиров</w:t>
            </w:r>
          </w:p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автомобильным транспортом по муниципальным</w:t>
            </w:r>
          </w:p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маршрутам регулярных перевозок</w:t>
            </w:r>
          </w:p>
        </w:tc>
      </w:tr>
      <w:tr w:rsidR="00EB66F4" w:rsidRPr="00D72FF1" w:rsidTr="00F21519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автотранспортом</w:t>
            </w:r>
          </w:p>
          <w:p w:rsidR="00EB66F4" w:rsidRPr="00D72FF1" w:rsidRDefault="00EB66F4" w:rsidP="00F21519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Обеспечение максимальной доступности информации и прозрачности условий работы на рынке пассажирских перевозок автотранспортом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Актуализация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информации о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критериях конкурсного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отбора перевозчиков на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официальном сайте Администрации Верхнекетского района в сети «Интернет» не менее 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</w:p>
        </w:tc>
      </w:tr>
      <w:tr w:rsidR="00EB66F4" w:rsidRPr="00D72FF1" w:rsidTr="00F21519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hd w:val="clear" w:color="auto" w:fill="FFFFFF"/>
              <w:spacing w:line="250" w:lineRule="exact"/>
              <w:ind w:left="14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Развитие  конкуренции в сфере по перевозке пассажиров автотранспортом и благоприятных условий субъектам транспортной инфраструктуры, включая:</w:t>
            </w:r>
          </w:p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сети регулярных маршрутов; 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Увеличение количества перевозчиков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различных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форм собственности; наличие сети регулярных маршрутов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Оказание квалифицированной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консультативной помощи по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вопросам организации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регулярных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перевозок пассажиров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автомобильным транспортом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по муниципальным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маршрутам регулярных перевозок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EB66F4" w:rsidRPr="00D72FF1" w:rsidTr="00F21519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Мониторинг пассажиропотока и потребностей района в корректировке существующей маршрутной сети и создание новых маршрутов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Количество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проведенных проверок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(мониторингов)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1;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D72FF1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EB66F4" w:rsidRPr="00D72FF1" w:rsidTr="00F21519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официальном сайте Администрации Верхнекетского района в сети «Интернет» реестра муниципальных маршрутов регулярных перевозок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Обеспечение свободного доступа субъектов рынка   оказания   услуг по перевозке пассажиров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автомобильным транспортом по муниципальным маршрутам    регулярных перевозок к информации о действующих, измененных или отмененных маршрутах регулярных перевозок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Актуализация на официальном сайте Администрации Верхнекетского района в сети «Интернет» информации о действующих, измененных или отмененных</w:t>
            </w:r>
            <w:r w:rsidRPr="00D72FF1">
              <w:rPr>
                <w:rFonts w:ascii="Arial Unicode MS" w:eastAsia="Arial Unicode MS" w:hAnsi="Arial Unicode MS" w:cs="Arial Unicode MS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маршрутах     </w:t>
            </w:r>
            <w:r w:rsidRPr="00D72FF1">
              <w:rPr>
                <w:rFonts w:ascii="Arial Unicode MS" w:eastAsia="Arial Unicode MS" w:hAnsi="Arial Unicode MS" w:cs="Arial Unicode MS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по мере внесения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EB66F4" w:rsidRPr="00D72FF1" w:rsidTr="00F21519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.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ab/>
              <w:t>Розничная торговля лекарственными препаратами, изделиями</w:t>
            </w:r>
          </w:p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медицинского назначения и сопутствующими товарами</w:t>
            </w:r>
          </w:p>
        </w:tc>
      </w:tr>
      <w:tr w:rsidR="00EB66F4" w:rsidRPr="00D72FF1" w:rsidTr="00F21519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Увеличение количества действующих организаций частной формы собственности, осуществляющих,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розничную торговлю лекарственными препаратами, изделиями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медицинского назначения и сопутствующими товарами, в том числе в отдаленных и труднодоступных населенных пунктах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действующих организаций частной формы собственности, осуществляющих, розничную торговлю лекарственными препаратами, изделиями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медицинского назначения и сопутствующими товарами на территории муниципального образования Верхнекетский район Томской области (единиц):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01.01.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2020 – 4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01.01.2021 – 4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01.01.2022 –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>2020-2022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  <w:p w:rsidR="00EB66F4" w:rsidRPr="00D72FF1" w:rsidRDefault="00EB66F4" w:rsidP="00F21519">
            <w:pPr>
              <w:ind w:firstLine="0"/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</w:pPr>
          </w:p>
          <w:p w:rsidR="00EB66F4" w:rsidRPr="00D72FF1" w:rsidRDefault="00EB66F4" w:rsidP="00F21519">
            <w:pPr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</w:tr>
    </w:tbl>
    <w:p w:rsidR="00EB66F4" w:rsidRPr="00D72FF1" w:rsidRDefault="00EB66F4" w:rsidP="00EB66F4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EB66F4" w:rsidRPr="00D72FF1" w:rsidRDefault="00EB66F4" w:rsidP="00EB66F4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EB66F4" w:rsidRPr="00D72FF1" w:rsidRDefault="00EB66F4" w:rsidP="00EB66F4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EB66F4" w:rsidRPr="00D72FF1" w:rsidRDefault="00EB66F4" w:rsidP="00EB66F4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  <w:r w:rsidRPr="00D72FF1">
        <w:rPr>
          <w:rFonts w:ascii="Arial" w:eastAsia="Arial Unicode MS" w:hAnsi="Arial" w:cs="Arial"/>
          <w:color w:val="000000"/>
          <w:sz w:val="24"/>
          <w:szCs w:val="24"/>
        </w:rPr>
        <w:t>III. Системные мероприятия, направленные на развитие конкурентной среды в муниципальном образовании Верхнекетский район Томской области</w:t>
      </w:r>
    </w:p>
    <w:tbl>
      <w:tblPr>
        <w:tblpPr w:leftFromText="180" w:rightFromText="180" w:vertAnchor="text" w:horzAnchor="margin" w:tblpY="1283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28"/>
        <w:gridCol w:w="2835"/>
        <w:gridCol w:w="2693"/>
        <w:gridCol w:w="2411"/>
        <w:gridCol w:w="2975"/>
      </w:tblGrid>
      <w:tr w:rsidR="00EB66F4" w:rsidRPr="00D72FF1" w:rsidTr="00F21519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pacing w:line="245" w:lineRule="exact"/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9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5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pacing w:line="245" w:lineRule="exact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spacing w:line="250" w:lineRule="exact"/>
              <w:ind w:right="62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B66F4" w:rsidRPr="00D72FF1" w:rsidTr="00F21519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left="1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Оказание консультационной и </w:t>
            </w:r>
            <w:r w:rsidRPr="00D72F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информационной поддержки субъектов малого предпринимательства по вопросам участия в закупках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Повышение профессионализма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субъектов предпринимательской деятельности в закупочном процессе, решение текущих проблем при проведении закупочных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Доля муниципальных контрактов с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субъектами малого предпринимательства в общей стоимости муниципальных контрактов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01.01.2021 – 9,65%;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01.01.2022 – 9,65%;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01.01.2023 – 9,65%.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муниципальным имуществом и землей Администрации Верхнекетского района</w:t>
            </w:r>
          </w:p>
        </w:tc>
      </w:tr>
      <w:tr w:rsidR="00EB66F4" w:rsidRPr="00D72FF1" w:rsidTr="00F2151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Содействие увеличению количества участников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конкурентных процедур определения поставщиков при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осуществлении закупок для обеспечения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Развитие конкуренции при осуществлении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01.01.2021 – 1,5;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01.01.2022 – 1,5;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01.01.2023 – 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EB66F4" w:rsidRPr="00D72FF1" w:rsidTr="00F2151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Выявление и оценка рисков нарушения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антимонопольного 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законодательства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в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Администрации Верхнекетского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Отсутствие выданных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Администрации Верхнекетского района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 предупреждений и (или) решений (предписаний) по результатам рассмотрения дела о нарушении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Количество выданных  Администрации Верхнекетского района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органу местного самоуправления предупреждений и (или) решений (предписаний) по результатам рассмотрения дела о нарушении антимонопольного законодательства (за исключением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предупреждений, решений, предписаний,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 отмененных           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вступившим в законную силу судебным актом)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на 01.01.2021 – отсутствуют;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на 01.01.2022 –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отсутствуют;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на 01.01.2023 –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отсутствуют.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EB66F4" w:rsidRPr="00D72FF1" w:rsidTr="00F2151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Организация работы по информированию населения и представителей бизнеса о проведении Департаментом экономики Томской области мониторинга состояния и развития конкуренции на рынках товаров, работ и услуг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Определение административных барьеров, экономических ограничений, иных факторов, являющихся барьерами входа на рынок (выход с рынка), и их устранение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Показатели выборки для опросов населения и бизнеса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(минимальное значение):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к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оличество субъектов предпринимательской деятельности, подлежащих опросу - 11;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D72F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физических лиц, подлежащих опросу – 40.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2021-2022 г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од</w:t>
            </w:r>
            <w:r w:rsidRPr="00D72FF1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EB66F4" w:rsidRPr="00D72FF1" w:rsidTr="00F2151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 xml:space="preserve">Разработка и утверждение единых показателей эффективности использования муниципального имущества (в том числе земельных участков), как находящиеся в казне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муниципального образования Верхнекетский район Томской области, так и закрепленного за муниципальными предприятиями 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Эффективное использование, а также использование по целевому назначению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Ежегодное утверждение плана проведения проверок сохранности и эффективности использования муниципального имущества </w:t>
            </w: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Верхнекетский район Томской области: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-1;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1;</w:t>
            </w:r>
          </w:p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EB66F4" w:rsidRPr="00571A22" w:rsidTr="00F2151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Размещение в открытом доступе информации о реализации муниципального имущества, находящегося в собственности муниципального образования Верхнекетский район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Обеспечение равных условий доступа к информации о реализации имущества, находящегося в собственности </w:t>
            </w:r>
            <w:r w:rsidRPr="00D72FF1">
              <w:rPr>
                <w:rFonts w:ascii="Arial" w:eastAsia="Arial Unicode MS" w:hAnsi="Arial" w:cs="Arial"/>
                <w:sz w:val="24"/>
                <w:szCs w:val="24"/>
              </w:rPr>
              <w:t>муниципального образования Верхнекетский район Томской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F4" w:rsidRPr="00D72FF1" w:rsidRDefault="00EB66F4" w:rsidP="00F21519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D72FF1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</w:tbl>
    <w:p w:rsidR="00EB66F4" w:rsidRPr="00571A22" w:rsidRDefault="00EB66F4" w:rsidP="00EB66F4">
      <w:pPr>
        <w:ind w:firstLine="0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EB66F4" w:rsidRPr="00571A22" w:rsidRDefault="00EB66F4" w:rsidP="00EB66F4">
      <w:pPr>
        <w:ind w:firstLine="0"/>
        <w:rPr>
          <w:lang w:val="ru"/>
        </w:rPr>
      </w:pPr>
    </w:p>
    <w:p w:rsidR="00EB66F4" w:rsidRPr="00244050" w:rsidRDefault="00EB66F4" w:rsidP="00EB66F4">
      <w:pPr>
        <w:ind w:firstLine="0"/>
      </w:pPr>
    </w:p>
    <w:p w:rsidR="00065BB2" w:rsidRPr="00244050" w:rsidRDefault="00065BB2" w:rsidP="00065BB2">
      <w:pPr>
        <w:ind w:firstLine="0"/>
      </w:pPr>
      <w:bookmarkStart w:id="0" w:name="_GoBack"/>
      <w:bookmarkEnd w:id="0"/>
    </w:p>
    <w:p w:rsidR="0037181A" w:rsidRPr="00065BB2" w:rsidRDefault="0037181A">
      <w:pPr>
        <w:ind w:firstLine="0"/>
      </w:pPr>
    </w:p>
    <w:sectPr w:rsidR="0037181A" w:rsidRPr="00065BB2" w:rsidSect="00671038">
      <w:pgSz w:w="16838" w:h="11906" w:orient="landscape"/>
      <w:pgMar w:top="1418" w:right="1134" w:bottom="709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33" w:rsidRDefault="00A22333" w:rsidP="003559D1">
      <w:r>
        <w:separator/>
      </w:r>
    </w:p>
  </w:endnote>
  <w:endnote w:type="continuationSeparator" w:id="0">
    <w:p w:rsidR="00A22333" w:rsidRDefault="00A22333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33" w:rsidRDefault="00A22333" w:rsidP="003559D1">
      <w:r>
        <w:separator/>
      </w:r>
    </w:p>
  </w:footnote>
  <w:footnote w:type="continuationSeparator" w:id="0">
    <w:p w:rsidR="00A22333" w:rsidRDefault="00A22333" w:rsidP="0035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6" w:rsidRDefault="003C3F26" w:rsidP="003C3F26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DF6715"/>
    <w:multiLevelType w:val="hybridMultilevel"/>
    <w:tmpl w:val="4544BCF8"/>
    <w:lvl w:ilvl="0" w:tplc="95822936">
      <w:start w:val="1"/>
      <w:numFmt w:val="decimal"/>
      <w:lvlText w:val="%1)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3C7829"/>
    <w:multiLevelType w:val="multilevel"/>
    <w:tmpl w:val="839465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AE67C6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19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16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FA"/>
    <w:rsid w:val="00001B03"/>
    <w:rsid w:val="00020595"/>
    <w:rsid w:val="00041DDF"/>
    <w:rsid w:val="00065BB2"/>
    <w:rsid w:val="00075FAC"/>
    <w:rsid w:val="00080261"/>
    <w:rsid w:val="000876D4"/>
    <w:rsid w:val="000C3327"/>
    <w:rsid w:val="000D06A6"/>
    <w:rsid w:val="000D6325"/>
    <w:rsid w:val="000E0B88"/>
    <w:rsid w:val="000E2EF2"/>
    <w:rsid w:val="000F119E"/>
    <w:rsid w:val="000F493F"/>
    <w:rsid w:val="0013202C"/>
    <w:rsid w:val="00193EF5"/>
    <w:rsid w:val="00194352"/>
    <w:rsid w:val="00195159"/>
    <w:rsid w:val="001B0354"/>
    <w:rsid w:val="001C1855"/>
    <w:rsid w:val="001C1C8C"/>
    <w:rsid w:val="001C534D"/>
    <w:rsid w:val="001D2121"/>
    <w:rsid w:val="001F5E31"/>
    <w:rsid w:val="00202FC0"/>
    <w:rsid w:val="002274BF"/>
    <w:rsid w:val="00244050"/>
    <w:rsid w:val="002516ED"/>
    <w:rsid w:val="002850C1"/>
    <w:rsid w:val="002954AA"/>
    <w:rsid w:val="002E16CA"/>
    <w:rsid w:val="002E2CCE"/>
    <w:rsid w:val="002F019D"/>
    <w:rsid w:val="003172F8"/>
    <w:rsid w:val="00317361"/>
    <w:rsid w:val="00344CA9"/>
    <w:rsid w:val="00350422"/>
    <w:rsid w:val="003559D1"/>
    <w:rsid w:val="003627DB"/>
    <w:rsid w:val="0037181A"/>
    <w:rsid w:val="00374F91"/>
    <w:rsid w:val="00380093"/>
    <w:rsid w:val="003905A3"/>
    <w:rsid w:val="003B0847"/>
    <w:rsid w:val="003C3F26"/>
    <w:rsid w:val="003E3B9B"/>
    <w:rsid w:val="003E597C"/>
    <w:rsid w:val="0041757B"/>
    <w:rsid w:val="004226BC"/>
    <w:rsid w:val="00422C14"/>
    <w:rsid w:val="004A3F71"/>
    <w:rsid w:val="004B5903"/>
    <w:rsid w:val="0050560E"/>
    <w:rsid w:val="005138FF"/>
    <w:rsid w:val="00514EEB"/>
    <w:rsid w:val="00533625"/>
    <w:rsid w:val="0056454D"/>
    <w:rsid w:val="005807DF"/>
    <w:rsid w:val="00591E96"/>
    <w:rsid w:val="005A4A18"/>
    <w:rsid w:val="005B4E9B"/>
    <w:rsid w:val="005B6E14"/>
    <w:rsid w:val="005C450D"/>
    <w:rsid w:val="005C7A02"/>
    <w:rsid w:val="005D5619"/>
    <w:rsid w:val="005F6EDD"/>
    <w:rsid w:val="00601BD9"/>
    <w:rsid w:val="006043B9"/>
    <w:rsid w:val="00612995"/>
    <w:rsid w:val="00615222"/>
    <w:rsid w:val="0064654C"/>
    <w:rsid w:val="00671038"/>
    <w:rsid w:val="0069186D"/>
    <w:rsid w:val="006B2164"/>
    <w:rsid w:val="006B5693"/>
    <w:rsid w:val="0070107A"/>
    <w:rsid w:val="007122A1"/>
    <w:rsid w:val="0072338F"/>
    <w:rsid w:val="00750478"/>
    <w:rsid w:val="007559C7"/>
    <w:rsid w:val="00764E1E"/>
    <w:rsid w:val="0076524B"/>
    <w:rsid w:val="0077681C"/>
    <w:rsid w:val="00776B0F"/>
    <w:rsid w:val="00785BBD"/>
    <w:rsid w:val="007969EE"/>
    <w:rsid w:val="007B19F0"/>
    <w:rsid w:val="007C176E"/>
    <w:rsid w:val="007F413E"/>
    <w:rsid w:val="008060F1"/>
    <w:rsid w:val="00806142"/>
    <w:rsid w:val="008152C2"/>
    <w:rsid w:val="0083798F"/>
    <w:rsid w:val="00860BBF"/>
    <w:rsid w:val="00872C02"/>
    <w:rsid w:val="00882068"/>
    <w:rsid w:val="00884C1E"/>
    <w:rsid w:val="00885BD7"/>
    <w:rsid w:val="0089067E"/>
    <w:rsid w:val="008B09A8"/>
    <w:rsid w:val="008E6ED1"/>
    <w:rsid w:val="00911F44"/>
    <w:rsid w:val="00922F1A"/>
    <w:rsid w:val="0092427C"/>
    <w:rsid w:val="009276EF"/>
    <w:rsid w:val="00932FA2"/>
    <w:rsid w:val="00953D8F"/>
    <w:rsid w:val="00987D03"/>
    <w:rsid w:val="009C1BD9"/>
    <w:rsid w:val="009C64A3"/>
    <w:rsid w:val="009C6D5B"/>
    <w:rsid w:val="00A22333"/>
    <w:rsid w:val="00A2241C"/>
    <w:rsid w:val="00A61B9A"/>
    <w:rsid w:val="00AE408D"/>
    <w:rsid w:val="00AE7ACC"/>
    <w:rsid w:val="00AF5BFB"/>
    <w:rsid w:val="00B02F8A"/>
    <w:rsid w:val="00B0320C"/>
    <w:rsid w:val="00B04E20"/>
    <w:rsid w:val="00B14EE2"/>
    <w:rsid w:val="00B50FD5"/>
    <w:rsid w:val="00B74BCF"/>
    <w:rsid w:val="00B91BFE"/>
    <w:rsid w:val="00BF395E"/>
    <w:rsid w:val="00BF5C27"/>
    <w:rsid w:val="00C008B2"/>
    <w:rsid w:val="00C11553"/>
    <w:rsid w:val="00C4091D"/>
    <w:rsid w:val="00C443FA"/>
    <w:rsid w:val="00C44432"/>
    <w:rsid w:val="00C45C39"/>
    <w:rsid w:val="00C81B99"/>
    <w:rsid w:val="00CB72BA"/>
    <w:rsid w:val="00CB73DC"/>
    <w:rsid w:val="00CD6E39"/>
    <w:rsid w:val="00CF0D0C"/>
    <w:rsid w:val="00CF306C"/>
    <w:rsid w:val="00D14669"/>
    <w:rsid w:val="00D30677"/>
    <w:rsid w:val="00D82817"/>
    <w:rsid w:val="00D85E37"/>
    <w:rsid w:val="00D930C0"/>
    <w:rsid w:val="00D94AA3"/>
    <w:rsid w:val="00DB4B0E"/>
    <w:rsid w:val="00DD6B02"/>
    <w:rsid w:val="00DE6B67"/>
    <w:rsid w:val="00E07C05"/>
    <w:rsid w:val="00E256B3"/>
    <w:rsid w:val="00E54E37"/>
    <w:rsid w:val="00E60253"/>
    <w:rsid w:val="00E61861"/>
    <w:rsid w:val="00E70511"/>
    <w:rsid w:val="00E75933"/>
    <w:rsid w:val="00E86335"/>
    <w:rsid w:val="00E86570"/>
    <w:rsid w:val="00E90A1B"/>
    <w:rsid w:val="00E963BD"/>
    <w:rsid w:val="00EB66F4"/>
    <w:rsid w:val="00EC6D88"/>
    <w:rsid w:val="00EE4CC7"/>
    <w:rsid w:val="00F15AB1"/>
    <w:rsid w:val="00F235B1"/>
    <w:rsid w:val="00F6131E"/>
    <w:rsid w:val="00F61F0D"/>
    <w:rsid w:val="00F85A02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BC0AF-0934-4209-9865-59D0F310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3C3F26"/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E2FF-67B9-4B59-915B-45A81B92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Татьяна Генералова</cp:lastModifiedBy>
  <cp:revision>3</cp:revision>
  <cp:lastPrinted>2019-11-12T07:31:00Z</cp:lastPrinted>
  <dcterms:created xsi:type="dcterms:W3CDTF">2021-10-17T12:45:00Z</dcterms:created>
  <dcterms:modified xsi:type="dcterms:W3CDTF">2021-10-17T12:47:00Z</dcterms:modified>
</cp:coreProperties>
</file>